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税收新环境下企业的税务规划与风险平衡之道专题报名表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