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智能财税时代下 企业“新财税思维构建与风险管控”全案例实战报名表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