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股权激励：用动态体系激活核心团队报名表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