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重塑战略，制胜高质量增长报名表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