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HRBP如何为业务创造价值报名表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