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新经济形势下公司治理与财务管控创新报名表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