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从支持到业务赋能，全方位提升行政价值报名表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