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科创时代的公司资本战略设计报名表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