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税改背景下税收筹划与税务风险管控报名表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