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新会计法实施暨会计准则执行中热点难点问题解析报名表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