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《劳动合同法》《民法典》背景下企业用工风险管控与调岗调薪、裁员解雇、退休终止及违纪问题员工处理技巧高级研修班报名表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