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增值税立法背景下建筑企业“业财票税法”多维一体合规部署报名表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