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应对延迟退休与末等调整不胜任退出政策：企业多元化用工策略、劳动风险管理体系构建及薪酬绩效实践落地专题培训班报名表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