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清华大学银行业新优势与私人银行业务高级研修班报名表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