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新劳动合同法解读及企业应对策略（新劳动合同法常见劳动争议案件审判结果分析）报名表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