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非上市公司股权激励的设计与实施报名表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