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3E薪资设计与激励性薪酬体系建立报名表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