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决策者的劳动合同法管理思路与应对策略报名表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