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《增值税、营业税及消费税新条例实施细则》解读与企业操作实务报名表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