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2008年房地产业最新税收政策与涉税风险管理及全面预算管理与成本控制报名表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