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突破发展瓶颈，驾驭风险逆境报名表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