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税收政策最新变化暨会计税法差异分析与协调高级培训班报名表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